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E97A6" w14:textId="77777777" w:rsidR="00965121" w:rsidRPr="00965121" w:rsidRDefault="00965121" w:rsidP="00965121">
      <w:pPr>
        <w:jc w:val="center"/>
        <w:rPr>
          <w:rFonts w:ascii="Arial" w:hAnsi="Arial" w:cs="Arial"/>
          <w:b/>
          <w:bCs/>
          <w:sz w:val="20"/>
          <w:szCs w:val="20"/>
        </w:rPr>
      </w:pPr>
      <w:r w:rsidRPr="00965121">
        <w:rPr>
          <w:rFonts w:ascii="Arial" w:hAnsi="Arial" w:cs="Arial"/>
          <w:b/>
          <w:bCs/>
          <w:sz w:val="20"/>
          <w:szCs w:val="20"/>
        </w:rPr>
        <w:t>ÁN LỆ SỐ 47/2021/AL</w:t>
      </w:r>
      <w:bookmarkStart w:id="0" w:name="_ftnref4"/>
      <w:bookmarkEnd w:id="0"/>
      <w:r w:rsidR="00763E8F" w:rsidRPr="00CB5586">
        <w:rPr>
          <w:rFonts w:ascii="Arial" w:hAnsi="Arial" w:cs="Arial"/>
          <w:b/>
          <w:bCs/>
          <w:sz w:val="20"/>
          <w:szCs w:val="20"/>
        </w:rPr>
        <w:t>[1]</w:t>
      </w:r>
    </w:p>
    <w:p w14:paraId="7A3C9E82" w14:textId="77777777" w:rsidR="00965121" w:rsidRPr="00965121" w:rsidRDefault="00965121" w:rsidP="00965121">
      <w:pPr>
        <w:jc w:val="center"/>
        <w:rPr>
          <w:rFonts w:ascii="Arial" w:hAnsi="Arial" w:cs="Arial"/>
          <w:b/>
          <w:bCs/>
          <w:sz w:val="20"/>
          <w:szCs w:val="20"/>
        </w:rPr>
      </w:pPr>
      <w:r w:rsidRPr="00965121">
        <w:rPr>
          <w:rFonts w:ascii="Arial" w:hAnsi="Arial" w:cs="Arial"/>
          <w:b/>
          <w:bCs/>
          <w:sz w:val="20"/>
          <w:szCs w:val="20"/>
        </w:rPr>
        <w:t>Về việc xác định tội danh trong trường hợp bị cáo dùng hung khí nguy hiểm đâm vào vùng trọng yếu của cơ thể bị hại</w:t>
      </w:r>
    </w:p>
    <w:p w14:paraId="0299CDF4"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Được Hội đồng Thẩm phán Tòa án nhân dân tối cao thông qua ngày 25 tháng 11 năm 2021 và được công bố theo Quyết định số 594/QĐ-CA ngày 31 tháng 12 năm 2021 của Chánh án Tòa án nhân dân tối cao.</w:t>
      </w:r>
    </w:p>
    <w:p w14:paraId="617EAC55"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Nguồn án lệ:</w:t>
      </w:r>
    </w:p>
    <w:p w14:paraId="53A6168A"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Quyết định giám đốc thẩm số 15/2020/HS-GĐT ngày 07/8/2020 của Hội đồng Thẩm phán Tòa án nhân dân tối cao về vụ án “Giết người đối với bị cáo Nguyễn Đình Đ.</w:t>
      </w:r>
    </w:p>
    <w:p w14:paraId="25BB9EED"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Vị trí nội dung án lệ:</w:t>
      </w:r>
    </w:p>
    <w:p w14:paraId="29CCA811"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Đoạn 2 phần “Nhận định của Tòa án”.</w:t>
      </w:r>
    </w:p>
    <w:p w14:paraId="2B584FF8"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Khái quát nội dung án lệ:</w:t>
      </w:r>
    </w:p>
    <w:p w14:paraId="7600B4FB"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 Tình huống án lệ:</w:t>
      </w:r>
    </w:p>
    <w:p w14:paraId="142C03DD"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Bị cáo dùng dao là hung khí nguy hiểm đâm vào vùng bụng của bị hại là vùng trọng yếu của cơ thể con người. Bị hại không chết là ngoài ý muốn chủ quan của bị cáo.</w:t>
      </w:r>
    </w:p>
    <w:p w14:paraId="779CE05E"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 Giải pháp pháp lý:</w:t>
      </w:r>
    </w:p>
    <w:p w14:paraId="585860FF"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Trường hợp này, Tòa án phải xác định bị cáo chịu trách nhiệm hình sự về tội “Giết người”.</w:t>
      </w:r>
    </w:p>
    <w:p w14:paraId="518DF160"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Quy định của pháp luật liên quan đến án lệ:</w:t>
      </w:r>
    </w:p>
    <w:p w14:paraId="4D71C871"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 Điều 18; điểm a, n khoản 1 Điều 93 Bộ luật Hình sự năm 1999 (tương ứng với Điều 15; điểm a, n khoản 1 Điều 123 Bộ luật Hình sự năm 2015).</w:t>
      </w:r>
    </w:p>
    <w:p w14:paraId="2123655A"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Từ khoá của án lệ:</w:t>
      </w:r>
    </w:p>
    <w:p w14:paraId="65F4006A"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“Dùng dao đâm”; “Hung khí nguy hiểm”; “Vùng bụng”; “Vùng trọng yếu của cơ thể”; “Giết người”.</w:t>
      </w:r>
    </w:p>
    <w:p w14:paraId="5CC0D0BA" w14:textId="77777777" w:rsidR="00965121" w:rsidRPr="00965121" w:rsidRDefault="00965121" w:rsidP="00965121">
      <w:pPr>
        <w:spacing w:after="120"/>
        <w:ind w:firstLine="720"/>
        <w:jc w:val="center"/>
        <w:rPr>
          <w:rFonts w:ascii="Arial" w:hAnsi="Arial" w:cs="Arial"/>
          <w:b/>
          <w:bCs/>
          <w:sz w:val="20"/>
          <w:szCs w:val="20"/>
        </w:rPr>
      </w:pPr>
      <w:r w:rsidRPr="00965121">
        <w:rPr>
          <w:rFonts w:ascii="Arial" w:hAnsi="Arial" w:cs="Arial"/>
          <w:b/>
          <w:bCs/>
          <w:sz w:val="20"/>
          <w:szCs w:val="20"/>
        </w:rPr>
        <w:t>NỘI DUNG VỤ ÁN:</w:t>
      </w:r>
    </w:p>
    <w:p w14:paraId="6C1450D3"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Khoảng 19 giờ ngày 09/12/2013, Nguyễn Đình Đ đến nhà anh Hà Đăng H tại thôn L, xã T, huyện C, thành phố Hà Nội ăn cơm, uống rượu cùng một số người khác trong đó có Đặng Hùng T và Phùng Xuân S. Trong lúc ăn uống, S và T có lời qua tiếng lại với nhau, S gọi T ra ngoài sân và tát T, T xin lỗi rồi cả hai quay vào tiếp tục uống rượu. Khoảng 10 phút sau, Đ đi ra ngoài thì S và T cũng đi theo ra bờ đê, S tát T một cái làm T ngã xuống đất. Đ thấy thế chạy đến hỏi T có sao không thì T khóc và nói: “Bố mẹ em không đánh em mà nó đánh em. Em giết nó”. T chạy tìm đồ vật đánh S. Đ chạy theo ôm T và nói: “Em đã say chưa? Có nhận ra anh không?”, T trả lời: “Có anh Hai ạ”. Lúc này, các anh Cao Văn C và Dương Văn T1 đi xe máy đến, anh T1 dừng xe lấy thuốc lá ra hút, anh C nói với S: “Nó là cháu tao đấy, mày đánh nó tao còn chưa nói đâu”. Đ can ngăn, đẩy T và S vào trong nhà anh H.</w:t>
      </w:r>
    </w:p>
    <w:p w14:paraId="626DA603"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Đ thấy anh C nói với S như vậy nên bực tức vào trong sân nhà anh H lấy một con dao nhọn rồi đi ra bờ đê chỗ anh C và anh T1 đang đứng. Đ nói: “Các ông thích đánh nhau lắm à mà đổ thêm dầu vào lửa”, C nói: “Tao thích đánh nhau, thích đổ thêm dầu vào lửa đấy. Mày là thằng nào mà đến đây hổ báo”. Đ cầm dao chỉ vào mặt anh C nói: “Mày thích đánh nhau à?” rồi đâm một nhát vào bụng anh C. Anh C bỏ chạy, Đ quay lại túm cổ áo anh T1 và đâm một nhát vào người anh T1. Anh T1 bỏ chạy, Đ và S đuổi theo sau. Đ đuổi kịp, dùng tay túm cổ áo anh T1, S dùng tay tát vào đầu, mặt anh T1, dùng chân đá vào người anh T1. Đ cầm dao đâm nhiều nhát vào người anh T1 làm anh T1 ngã sấp xuống đất. Đ dùng dao đâm tiếp 03 nhát vào người anh T1 làm anh T1 gục hẳn, khi thấy anh T1 nằm bất tỉnh, Đ và S bỏ chạy.</w:t>
      </w:r>
    </w:p>
    <w:p w14:paraId="2386A891"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Anh Cao Văn C bỏ chạy được một đoạn thì vào nhà anh H lấy một chiếc cuốc quay lại thì gặp S. Anh C giơ cán cuốc định đánh thì S bỏ chạy vào nhà anh H thông báo việc đánh nhau. Anh C chạy tiếp thì gặp Đ đang cầm dao, anh C giơ cán cuốc lên vụt một cái, Đ giơ tay lên đỡ thì bị trúng vào đầu và tay trái. Đ bỏ chạy về nhà anh H lấy xe máy đi về. Trên đường đi, Đ vứt con dao xuống mương nước. Mọi người đưa anh T1 và anh C đi cấp cứu nhưng anh T1 đã tử vong. Ngày 10/12/2013, Đ ra đầu thú tại Công an huyện C.</w:t>
      </w:r>
    </w:p>
    <w:p w14:paraId="7FFD9698"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 xml:space="preserve">Tại Bản kết luận giám định pháp y tử thi số 8251/PC54 (PY) ngày 31/12/2013, Phòng kỹ thuật hình sự Công an thành phố Hà Nội kết luận: nguyên nhân chết của anh Dương Văn T1 là sốc </w:t>
      </w:r>
      <w:r w:rsidRPr="00965121">
        <w:rPr>
          <w:rFonts w:ascii="Arial" w:hAnsi="Arial" w:cs="Arial"/>
          <w:sz w:val="20"/>
          <w:szCs w:val="20"/>
        </w:rPr>
        <w:lastRenderedPageBreak/>
        <w:t>do mất máu cấp và suy hô hấp cấp.</w:t>
      </w:r>
    </w:p>
    <w:p w14:paraId="3E872FD8"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Tại Bản kết luận giám định pháp y thương tích số 203/TTPY ngày 06/5/2014 của Trung tâm pháp y Sở Y tế Hà Nội kết luận thương tích của anh Cao Văn C tại thời điểm giám định: sẹo vết thương phần mềm, gãy xương sườn X bên trái, không gây tràn dịch, tràn khí màng phổi; nhiều khả năng các thương tích do vật sắc gây nên; tỷ lệ tổn hại sức khỏe là 05%.</w:t>
      </w:r>
    </w:p>
    <w:p w14:paraId="6343373A"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Tại Bản án hình sự sơ thẩm số 47/2015/HSST ngày 05/02/2015, Tòa án nhân dân thành phố Hà Nội áp dụng các điểm a và n khoản 1 Điều 93; điểm p khoản 1, khoản 2 Điều 46 Bộ luật Hình sự năm 1999, xử phạt Nguyễn Đình Đ tử hình về tội “Giết người”.</w:t>
      </w:r>
    </w:p>
    <w:p w14:paraId="24AA8A08"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Ngày 10/02/2015, Nguyễn Đình Đ kháng cáo xin giảm hình phạt.</w:t>
      </w:r>
    </w:p>
    <w:p w14:paraId="3D7E2634"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Tại Bản án hình sự phúc thẩm số 01/2016/HSPT ngày 06/01/2016, Tòa án nhân dân cấp cao tại Hà Nội không chấp nhận kháng cáo của Nguyễn Đình Đ, áp dụng các điểm a và n khoản 1 Điều 93; các điểm b và p khoản 1, khoản 2 Điều 46 Bộ luật Hình sự năm 1999, xử phạt Nguyễn Đình Đ tử hình về tội “Giết người”.</w:t>
      </w:r>
    </w:p>
    <w:p w14:paraId="2B8C75CE"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Tại Quyết định kháng nghị giám đốc thẩm số 16/QĐ-VKSTC ngày 29/11/2019, Viện trưởng Viện kiểm sát nhân dân tối cao quyết định kháng nghị Bản án hình sự sơ thẩm số 47/2015/HSST ngày 05/02/2015 của Tòa án nhân dân thành phố Hà Nội và Bản án hình sự phúc thẩm số 01/2016/HSPT ngày 06/01/2016 của Tòa án nhân dân cấp cao tại Hà Nội đối với Nguyễn Đình Đ; đề nghị Hội đồng Thẩm phán Tòa án nhân dân tối cao xét xử theo thủ tục giám đốc thẩm, hủy một phần Bản án hình sự sơ thẩm và Bản án hình sự phúc thẩm nêu trên về phần tội danh và hình phạt đối với Nguyễn Đình Đ để điều tra lại.</w:t>
      </w:r>
    </w:p>
    <w:p w14:paraId="46901C4E"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Tại phiên tòa giám đốc thẩm, đại diện Viện kiểm sát nhân dân tối cao đề nghị Chánh án Tòa án nhân dân tối cao chấp nhận kháng nghị của Viện trưởng Viện kiểm sát nhân dân tối cao.</w:t>
      </w:r>
    </w:p>
    <w:p w14:paraId="219AA638" w14:textId="77777777" w:rsidR="00965121" w:rsidRPr="00965121" w:rsidRDefault="00965121" w:rsidP="00965121">
      <w:pPr>
        <w:spacing w:after="120"/>
        <w:ind w:firstLine="720"/>
        <w:jc w:val="center"/>
        <w:rPr>
          <w:rFonts w:ascii="Arial" w:hAnsi="Arial" w:cs="Arial"/>
          <w:b/>
          <w:bCs/>
          <w:sz w:val="20"/>
          <w:szCs w:val="20"/>
        </w:rPr>
      </w:pPr>
      <w:r w:rsidRPr="00965121">
        <w:rPr>
          <w:rFonts w:ascii="Arial" w:hAnsi="Arial" w:cs="Arial"/>
          <w:b/>
          <w:bCs/>
          <w:sz w:val="20"/>
          <w:szCs w:val="20"/>
        </w:rPr>
        <w:t>NHẬN ĐỊNH CỦA TÒA ÁN:</w:t>
      </w:r>
    </w:p>
    <w:p w14:paraId="44E76991"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[1] Về hành vi của Nguyễn Đình Đ đối với anh Cao Văn C:</w:t>
      </w:r>
    </w:p>
    <w:p w14:paraId="7CC9B47E"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[2] Mặc dù giữa Nguyễn Đình Đ và anh Cao Văn C không có mâu thuẫn trước đó, nhưng từ lời nói của anh C “Tao thích đánh nhau, thích đổ thêm dầu vào lửa đấy. Mày là thằng nào mà đến đây hổ báo”, Đ cầm dao (loại dao dùng làm hàng mây tre đan, chuôi gỗ dài 11cm, lưỡi bằng sắt dài 13,5cm, đầu mũi dao nhọn hơi cong, bản dao nơi rộng nhất 2,5cm) chỉ vào mặt anh C nói “Mày thích đánh nhau à” rồi dùng dao đâm một nhát vào bụng anh C làm anh C bỏ chạy. Như vậy, chỉ vì lời nói của anh C có tính chất thách thức, kích động mà Đ đã dùng dao nhọn là hung khí nguy hiểm đâm vào vùng bụng (mạn sườn bên trái) của anh C là vùng trọng yếu trên cơ thể con người. Theo kết luận giám định thì anh C bị thương tích 05% và đây là thương tích ở thời điểm giám định (sau gần 05 tháng vụ án xảy ra), không phải thương tích ở thời điểm xảy ra vụ án, nên không phản ánh đúng thương tích của anh C và tính chất, mức độ nguy hiểm của hành vi phạm tội. Việc anh C không chết là ngoài ý muốn chủ quan của Đ. Do đó, hành vi nêu trên của Đ đủ yếu tố cấu thành tội “Giết người”, thuộc trường hợp phạm tội chưa đạt và có tính chất côn đồ.</w:t>
      </w:r>
    </w:p>
    <w:p w14:paraId="611E374A"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[3] Hành vi của Nguyễn Đình Đ đối với anh Dương Văn T1:</w:t>
      </w:r>
    </w:p>
    <w:p w14:paraId="5F3BF2EA"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[4] Anh Dương Văn T1 là người đi cùng với anh Cao Văn C. Anh T1 không có mâu thuẫn từ trước với Nguyễn Đình Đ, ở thời điểm xảy ra vụ án, anh T1 cũng không có lời lẽ thách thức hay hành vi tấn công đối với Đ, nhưng sau khi đâm anh Cảnh, anh Cảnh bỏ chạy, Đ quay lại túm cổ áo anh T1 và cầm dao đâm anh T1, anh T1 bỏ chạy, Đ đuổi theo cầm dao đâm nhiều nhát vào người anh T1 làm anh T1 bị ngã sấp xuống đất, Đ tiếp tục dùng dao đâm 03 nhát vào lưng anh T1 đến khi anh T1 bất tỉnh. Hậu quả anh T1 bị chết do sốc mất máu cấp và suy hô hấp cấp. Hành vi giết người của Đ đối với anh T1 là thuộc trường hợp phạm tội có tính chất côn đồ.</w:t>
      </w:r>
    </w:p>
    <w:p w14:paraId="19E2DD77"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[5] Như đã phân tích ở trên, dù không có mâu thuẫn từ trước, nhưng cùng một lúc Đ đã dùng dao đâm vào vùng trọng yếu của 02 người bị hại, làm 01 người bị chết, 01 người bị thương. Tòa án cấp sơ thẩm và Tòa án cấp phúc thẩm kết án Nguyễn Đình Đ về “Tội giết người” theo quy định tại điểm a (giết nhiều người) và điểm n (có tính chất côn đồ) khoản 1 Điều 93 Bộ luật Hình sự năm 1999 là có căn cứ.</w:t>
      </w:r>
    </w:p>
    <w:p w14:paraId="2F56EBA2"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[6] Mặc dù, quá trình giải quyết vụ án, Nguyễn Đình Đ đã thành khẩn khai báo, tích cực bồi thường cho gia đình người bị hại, nhưng hành vi phạm tội của Đ là đặc biệt nghiêm trọng, thể hiện sự côn đồ, hung hãn, quyết liệt, coi thường tính mạng người khác, nên Tòa án cấp sơ thẩm và Tòa án cấp phúc thẩm xử phạt Nguyễn Đình Đ tử hình về tội “Giết người” là đúng pháp luật.</w:t>
      </w:r>
    </w:p>
    <w:p w14:paraId="349A71AE"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lastRenderedPageBreak/>
        <w:t>Vì các lẽ trên,</w:t>
      </w:r>
    </w:p>
    <w:p w14:paraId="2407F329" w14:textId="77777777" w:rsidR="00965121" w:rsidRPr="00965121" w:rsidRDefault="00965121" w:rsidP="00965121">
      <w:pPr>
        <w:spacing w:after="120"/>
        <w:ind w:firstLine="720"/>
        <w:jc w:val="center"/>
        <w:rPr>
          <w:rFonts w:ascii="Arial" w:hAnsi="Arial" w:cs="Arial"/>
          <w:b/>
          <w:bCs/>
          <w:sz w:val="20"/>
          <w:szCs w:val="20"/>
        </w:rPr>
      </w:pPr>
      <w:r w:rsidRPr="00965121">
        <w:rPr>
          <w:rFonts w:ascii="Arial" w:hAnsi="Arial" w:cs="Arial"/>
          <w:b/>
          <w:bCs/>
          <w:sz w:val="20"/>
          <w:szCs w:val="20"/>
        </w:rPr>
        <w:t>QUYẾT ĐỊNH:</w:t>
      </w:r>
    </w:p>
    <w:p w14:paraId="6008224A"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Căn cứ khoản 4 Điều 382, khoản 1 Điều 388, Điều 389 Bộ luật Tố tụng hình sự:</w:t>
      </w:r>
    </w:p>
    <w:p w14:paraId="33186C24"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1. Không chấp nhận kháng nghị của Viện trưởng Viện kiểm sát nhân dân tối cao.</w:t>
      </w:r>
    </w:p>
    <w:p w14:paraId="4AF97333" w14:textId="77777777" w:rsidR="00965121" w:rsidRPr="00965121" w:rsidRDefault="00965121" w:rsidP="00965121">
      <w:pPr>
        <w:spacing w:after="120"/>
        <w:ind w:firstLine="720"/>
        <w:jc w:val="both"/>
        <w:rPr>
          <w:rFonts w:ascii="Arial" w:hAnsi="Arial" w:cs="Arial"/>
          <w:sz w:val="20"/>
          <w:szCs w:val="20"/>
        </w:rPr>
      </w:pPr>
      <w:r w:rsidRPr="00965121">
        <w:rPr>
          <w:rFonts w:ascii="Arial" w:hAnsi="Arial" w:cs="Arial"/>
          <w:sz w:val="20"/>
          <w:szCs w:val="20"/>
        </w:rPr>
        <w:t>2. Giữ nguyên Bản án hình sự phúc thẩm số 01/2016/HSPT ngày 06/01/2016 của Tòa án nhân dân cấp cao tại Hà Nội về tội danh và hình phạt đối với Nguyễn Đình Đ.</w:t>
      </w:r>
    </w:p>
    <w:p w14:paraId="5EC5485D" w14:textId="77777777" w:rsidR="00965121" w:rsidRPr="00965121" w:rsidRDefault="00965121" w:rsidP="00965121">
      <w:pPr>
        <w:spacing w:after="120"/>
        <w:ind w:firstLine="720"/>
        <w:jc w:val="center"/>
        <w:rPr>
          <w:rFonts w:ascii="Arial" w:hAnsi="Arial" w:cs="Arial"/>
          <w:b/>
          <w:bCs/>
          <w:sz w:val="20"/>
          <w:szCs w:val="20"/>
        </w:rPr>
      </w:pPr>
      <w:r w:rsidRPr="00965121">
        <w:rPr>
          <w:rFonts w:ascii="Arial" w:hAnsi="Arial" w:cs="Arial"/>
          <w:b/>
          <w:bCs/>
          <w:sz w:val="20"/>
          <w:szCs w:val="20"/>
        </w:rPr>
        <w:t>NỘI DUNG ÁN LỆ</w:t>
      </w:r>
    </w:p>
    <w:p w14:paraId="5175F3A6" w14:textId="77777777" w:rsidR="00965121" w:rsidRPr="00965121" w:rsidRDefault="00965121" w:rsidP="00965121">
      <w:pPr>
        <w:spacing w:after="120"/>
        <w:ind w:firstLine="720"/>
        <w:jc w:val="both"/>
        <w:rPr>
          <w:rFonts w:ascii="Arial" w:hAnsi="Arial" w:cs="Arial"/>
          <w:i/>
          <w:iCs/>
          <w:sz w:val="20"/>
          <w:szCs w:val="20"/>
        </w:rPr>
      </w:pPr>
      <w:r w:rsidRPr="00965121">
        <w:rPr>
          <w:rFonts w:ascii="Arial" w:hAnsi="Arial" w:cs="Arial"/>
          <w:i/>
          <w:iCs/>
          <w:sz w:val="20"/>
          <w:szCs w:val="20"/>
        </w:rPr>
        <w:t>“[2] Mặc dù giữa Nguyễn Đình Đ và anh Cao Văn C không có mâu thuẫn trước đó, nhưng từ lời nói của anh C “Tao thích đánh nhau, thích đổ thêm dầu vào lửa đấy. Mày là thằng nào mà đến đây hổ báo”, Đ cầm dao (loại dao dùng làm hàng mây tre đan, chuôi gỗ dài 11 cm, lưỡi bằng sắt dài 13,5cm, đầu mũi dao nhọn hơi cong, bản dao nơi rộng nhất 2,5cm) chỉ vào mặt anh C nói “Mày thích đánh nhau à” rồi dùng dao đâm một nhát vào bụng anh C làm anh C bỏ chạy. Như vậy, chỉ vì lời nói của anh C có tính chất thách thức, kích động mà Đ đã dùng dao nhọn là hung khí nguy hiểm đâm vào vùng bụng (mạn sườn bên trái) của anh C là vùng trọng yếu trên cơ thể con người. Theo kết luận giám định thì anh C bị thương tích 05%, và đây là thương tích ở thời điểm giám định (sau gần 05 tháng vụ án xảy ra), không phải thương tích ở thời điểm xảy ra vụ án, nên không phản ánh đúng thương tích của anh C và tính chất, mức độ nguy hiểm của hành vi phạm tội. Việc anh C không chết là ngoài ý muốn chủ quan của Đ. Do đó, hành vi nêu trên của Đ đủ yếu tố cấu thành tội “Giết người”, thuộc trường hợp phạm tội chưa đạt và có tính chất côn đồ.”</w:t>
      </w:r>
    </w:p>
    <w:p w14:paraId="3510F54E" w14:textId="77777777" w:rsidR="00143B16" w:rsidRPr="00965121" w:rsidRDefault="00143B16" w:rsidP="00965121">
      <w:pPr>
        <w:rPr>
          <w:rFonts w:ascii="Arial" w:hAnsi="Arial" w:cs="Arial"/>
          <w:sz w:val="20"/>
          <w:szCs w:val="20"/>
        </w:rPr>
      </w:pPr>
    </w:p>
    <w:sectPr w:rsidR="00143B16" w:rsidRPr="00965121" w:rsidSect="00D95244">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A9359" w14:textId="77777777" w:rsidR="00B80A88" w:rsidRDefault="00B80A88" w:rsidP="00BE1DA0">
      <w:r>
        <w:separator/>
      </w:r>
    </w:p>
  </w:endnote>
  <w:endnote w:type="continuationSeparator" w:id="0">
    <w:p w14:paraId="62211B1A" w14:textId="77777777" w:rsidR="00B80A88" w:rsidRDefault="00B80A88" w:rsidP="00BE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6225A" w14:textId="77777777" w:rsidR="00B80A88" w:rsidRDefault="00B80A88" w:rsidP="00BE1DA0">
      <w:r>
        <w:separator/>
      </w:r>
    </w:p>
  </w:footnote>
  <w:footnote w:type="continuationSeparator" w:id="0">
    <w:p w14:paraId="4CA99E56" w14:textId="77777777" w:rsidR="00B80A88" w:rsidRDefault="00B80A88" w:rsidP="00BE1D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44"/>
    <w:rsid w:val="000308EC"/>
    <w:rsid w:val="00056888"/>
    <w:rsid w:val="00057A94"/>
    <w:rsid w:val="00074A07"/>
    <w:rsid w:val="00087799"/>
    <w:rsid w:val="000A4933"/>
    <w:rsid w:val="000D1698"/>
    <w:rsid w:val="000D17F7"/>
    <w:rsid w:val="000D2662"/>
    <w:rsid w:val="000D3545"/>
    <w:rsid w:val="000D7BCB"/>
    <w:rsid w:val="000F3013"/>
    <w:rsid w:val="000F42E6"/>
    <w:rsid w:val="001206C5"/>
    <w:rsid w:val="001312FE"/>
    <w:rsid w:val="001433E2"/>
    <w:rsid w:val="00143B16"/>
    <w:rsid w:val="00160B3B"/>
    <w:rsid w:val="001634A1"/>
    <w:rsid w:val="00187BCB"/>
    <w:rsid w:val="001A039D"/>
    <w:rsid w:val="001A1FD4"/>
    <w:rsid w:val="001A2309"/>
    <w:rsid w:val="001A2B52"/>
    <w:rsid w:val="001C052C"/>
    <w:rsid w:val="001C3E40"/>
    <w:rsid w:val="001D04D3"/>
    <w:rsid w:val="001D4168"/>
    <w:rsid w:val="001D7768"/>
    <w:rsid w:val="001D7E31"/>
    <w:rsid w:val="001E326B"/>
    <w:rsid w:val="002076D8"/>
    <w:rsid w:val="0022395E"/>
    <w:rsid w:val="00223C16"/>
    <w:rsid w:val="002269E1"/>
    <w:rsid w:val="00251E79"/>
    <w:rsid w:val="00255DF4"/>
    <w:rsid w:val="0027057E"/>
    <w:rsid w:val="00282B8B"/>
    <w:rsid w:val="00282D46"/>
    <w:rsid w:val="00285157"/>
    <w:rsid w:val="00286222"/>
    <w:rsid w:val="002A28C7"/>
    <w:rsid w:val="002B3F48"/>
    <w:rsid w:val="002B532B"/>
    <w:rsid w:val="002C427D"/>
    <w:rsid w:val="002C585A"/>
    <w:rsid w:val="002D2BE6"/>
    <w:rsid w:val="002F134B"/>
    <w:rsid w:val="002F1BE7"/>
    <w:rsid w:val="002F4C16"/>
    <w:rsid w:val="003251F1"/>
    <w:rsid w:val="00340373"/>
    <w:rsid w:val="003441E3"/>
    <w:rsid w:val="003468C8"/>
    <w:rsid w:val="00346DF8"/>
    <w:rsid w:val="00352F92"/>
    <w:rsid w:val="00360430"/>
    <w:rsid w:val="003713A6"/>
    <w:rsid w:val="0038735C"/>
    <w:rsid w:val="00391869"/>
    <w:rsid w:val="003A288B"/>
    <w:rsid w:val="003B21A8"/>
    <w:rsid w:val="003B29B0"/>
    <w:rsid w:val="003D2A72"/>
    <w:rsid w:val="003D3D68"/>
    <w:rsid w:val="003D7A3F"/>
    <w:rsid w:val="00414810"/>
    <w:rsid w:val="0043445A"/>
    <w:rsid w:val="00442AB3"/>
    <w:rsid w:val="0044579F"/>
    <w:rsid w:val="00483D6F"/>
    <w:rsid w:val="00490FCB"/>
    <w:rsid w:val="004B4BF5"/>
    <w:rsid w:val="004D7B87"/>
    <w:rsid w:val="004D7C8A"/>
    <w:rsid w:val="004E660B"/>
    <w:rsid w:val="004F4717"/>
    <w:rsid w:val="00507AE2"/>
    <w:rsid w:val="00507B3F"/>
    <w:rsid w:val="00514D99"/>
    <w:rsid w:val="0051757A"/>
    <w:rsid w:val="0053783A"/>
    <w:rsid w:val="00562560"/>
    <w:rsid w:val="005656DC"/>
    <w:rsid w:val="00574EC5"/>
    <w:rsid w:val="00577709"/>
    <w:rsid w:val="005B0345"/>
    <w:rsid w:val="005B18F1"/>
    <w:rsid w:val="005D615A"/>
    <w:rsid w:val="005F1601"/>
    <w:rsid w:val="005F2FFE"/>
    <w:rsid w:val="005F4257"/>
    <w:rsid w:val="00605CFA"/>
    <w:rsid w:val="00622756"/>
    <w:rsid w:val="006236AC"/>
    <w:rsid w:val="0063029B"/>
    <w:rsid w:val="006334AF"/>
    <w:rsid w:val="00647671"/>
    <w:rsid w:val="006519A7"/>
    <w:rsid w:val="00671CF2"/>
    <w:rsid w:val="006903B9"/>
    <w:rsid w:val="006911BA"/>
    <w:rsid w:val="006C7D44"/>
    <w:rsid w:val="006D5E07"/>
    <w:rsid w:val="006E7C2C"/>
    <w:rsid w:val="006F11EE"/>
    <w:rsid w:val="007148B7"/>
    <w:rsid w:val="00732353"/>
    <w:rsid w:val="0073249D"/>
    <w:rsid w:val="00747BB0"/>
    <w:rsid w:val="0075370E"/>
    <w:rsid w:val="00762D83"/>
    <w:rsid w:val="00763E8F"/>
    <w:rsid w:val="00770050"/>
    <w:rsid w:val="007A17F9"/>
    <w:rsid w:val="007A61D1"/>
    <w:rsid w:val="007B401C"/>
    <w:rsid w:val="007C5223"/>
    <w:rsid w:val="008018EA"/>
    <w:rsid w:val="00804023"/>
    <w:rsid w:val="0081512E"/>
    <w:rsid w:val="008241CE"/>
    <w:rsid w:val="00825153"/>
    <w:rsid w:val="00831F2A"/>
    <w:rsid w:val="0084051C"/>
    <w:rsid w:val="0084325D"/>
    <w:rsid w:val="0085036E"/>
    <w:rsid w:val="008707D0"/>
    <w:rsid w:val="008708AE"/>
    <w:rsid w:val="00882A52"/>
    <w:rsid w:val="00892000"/>
    <w:rsid w:val="00896520"/>
    <w:rsid w:val="008A2EA3"/>
    <w:rsid w:val="008B3F1C"/>
    <w:rsid w:val="008C1DD9"/>
    <w:rsid w:val="008C6551"/>
    <w:rsid w:val="008E57CE"/>
    <w:rsid w:val="008E70E7"/>
    <w:rsid w:val="008F04E8"/>
    <w:rsid w:val="008F7CFC"/>
    <w:rsid w:val="0092051A"/>
    <w:rsid w:val="00930A2E"/>
    <w:rsid w:val="00950F89"/>
    <w:rsid w:val="00952648"/>
    <w:rsid w:val="0095756B"/>
    <w:rsid w:val="00965121"/>
    <w:rsid w:val="00973166"/>
    <w:rsid w:val="00975ABA"/>
    <w:rsid w:val="00982024"/>
    <w:rsid w:val="009846DE"/>
    <w:rsid w:val="0099703C"/>
    <w:rsid w:val="009B510A"/>
    <w:rsid w:val="009B695F"/>
    <w:rsid w:val="009D7696"/>
    <w:rsid w:val="009D7959"/>
    <w:rsid w:val="009D7C2A"/>
    <w:rsid w:val="009D7D08"/>
    <w:rsid w:val="009F0CA7"/>
    <w:rsid w:val="009F62F3"/>
    <w:rsid w:val="00A005B2"/>
    <w:rsid w:val="00A02906"/>
    <w:rsid w:val="00A21A8A"/>
    <w:rsid w:val="00A4418D"/>
    <w:rsid w:val="00A54413"/>
    <w:rsid w:val="00A74302"/>
    <w:rsid w:val="00A74B3C"/>
    <w:rsid w:val="00A8307B"/>
    <w:rsid w:val="00A86744"/>
    <w:rsid w:val="00A93C2E"/>
    <w:rsid w:val="00A95076"/>
    <w:rsid w:val="00AA2A8B"/>
    <w:rsid w:val="00AA315F"/>
    <w:rsid w:val="00AA61B5"/>
    <w:rsid w:val="00AA7436"/>
    <w:rsid w:val="00AC6B79"/>
    <w:rsid w:val="00AD5BA0"/>
    <w:rsid w:val="00AD6588"/>
    <w:rsid w:val="00B16063"/>
    <w:rsid w:val="00B60A4E"/>
    <w:rsid w:val="00B6190A"/>
    <w:rsid w:val="00B61DCA"/>
    <w:rsid w:val="00B7027D"/>
    <w:rsid w:val="00B745EF"/>
    <w:rsid w:val="00B80323"/>
    <w:rsid w:val="00B80A88"/>
    <w:rsid w:val="00B81F31"/>
    <w:rsid w:val="00B85395"/>
    <w:rsid w:val="00B90131"/>
    <w:rsid w:val="00B91F93"/>
    <w:rsid w:val="00BA2FF7"/>
    <w:rsid w:val="00BB6D65"/>
    <w:rsid w:val="00BC020E"/>
    <w:rsid w:val="00BE1DA0"/>
    <w:rsid w:val="00BE6C35"/>
    <w:rsid w:val="00BF6626"/>
    <w:rsid w:val="00C1656E"/>
    <w:rsid w:val="00C3571C"/>
    <w:rsid w:val="00C42D45"/>
    <w:rsid w:val="00C47F0A"/>
    <w:rsid w:val="00C534B9"/>
    <w:rsid w:val="00C544C5"/>
    <w:rsid w:val="00C562A7"/>
    <w:rsid w:val="00C64DC6"/>
    <w:rsid w:val="00C666F7"/>
    <w:rsid w:val="00C77603"/>
    <w:rsid w:val="00C83BFA"/>
    <w:rsid w:val="00CA21AB"/>
    <w:rsid w:val="00CB7DB6"/>
    <w:rsid w:val="00CF7632"/>
    <w:rsid w:val="00D0658E"/>
    <w:rsid w:val="00D17FF1"/>
    <w:rsid w:val="00D20EC6"/>
    <w:rsid w:val="00D241B0"/>
    <w:rsid w:val="00D32C0E"/>
    <w:rsid w:val="00D408DE"/>
    <w:rsid w:val="00D669F3"/>
    <w:rsid w:val="00D8214B"/>
    <w:rsid w:val="00D853B2"/>
    <w:rsid w:val="00D95244"/>
    <w:rsid w:val="00D96A56"/>
    <w:rsid w:val="00DE4970"/>
    <w:rsid w:val="00DF24B1"/>
    <w:rsid w:val="00DF2695"/>
    <w:rsid w:val="00DF5454"/>
    <w:rsid w:val="00DF6CB2"/>
    <w:rsid w:val="00E1313A"/>
    <w:rsid w:val="00E62CB2"/>
    <w:rsid w:val="00E70E3F"/>
    <w:rsid w:val="00E745AD"/>
    <w:rsid w:val="00E77768"/>
    <w:rsid w:val="00E86F9F"/>
    <w:rsid w:val="00E92754"/>
    <w:rsid w:val="00E97A2C"/>
    <w:rsid w:val="00EA4DA4"/>
    <w:rsid w:val="00EE2747"/>
    <w:rsid w:val="00EE315E"/>
    <w:rsid w:val="00EF3819"/>
    <w:rsid w:val="00F01A41"/>
    <w:rsid w:val="00F07534"/>
    <w:rsid w:val="00F35954"/>
    <w:rsid w:val="00F466E4"/>
    <w:rsid w:val="00F72519"/>
    <w:rsid w:val="00F753E0"/>
    <w:rsid w:val="00F85D8E"/>
    <w:rsid w:val="00FA03A0"/>
    <w:rsid w:val="00FA3E12"/>
    <w:rsid w:val="00FD448B"/>
    <w:rsid w:val="00FE195E"/>
    <w:rsid w:val="00FE781B"/>
    <w:rsid w:val="00FF225A"/>
    <w:rsid w:val="00FF5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9173D0"/>
  <w14:defaultImageDpi w14:val="0"/>
  <w15:docId w15:val="{14A8FAEB-107E-4202-BE63-340FDAF5F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link w:val="Vnbnnidung20"/>
    <w:uiPriority w:val="99"/>
    <w:locked/>
    <w:rPr>
      <w:rFonts w:ascii="Times New Roman" w:hAnsi="Times New Roman" w:cs="Times New Roman"/>
      <w:sz w:val="22"/>
      <w:szCs w:val="22"/>
      <w:u w:val="none"/>
    </w:rPr>
  </w:style>
  <w:style w:type="character" w:customStyle="1" w:styleId="Vnbnnidung">
    <w:name w:val="Văn bản nội dung_"/>
    <w:link w:val="Vnbnnidung0"/>
    <w:uiPriority w:val="99"/>
    <w:locked/>
    <w:rPr>
      <w:rFonts w:ascii="Times New Roman" w:hAnsi="Times New Roman" w:cs="Times New Roman"/>
      <w:sz w:val="26"/>
      <w:szCs w:val="26"/>
      <w:u w:val="none"/>
    </w:rPr>
  </w:style>
  <w:style w:type="character" w:customStyle="1" w:styleId="Tiu1">
    <w:name w:val="Tiêu đề #1_"/>
    <w:link w:val="Tiu10"/>
    <w:uiPriority w:val="99"/>
    <w:locked/>
    <w:rPr>
      <w:rFonts w:ascii="Times New Roman" w:hAnsi="Times New Roman" w:cs="Times New Roman"/>
      <w:b/>
      <w:bCs/>
      <w:sz w:val="26"/>
      <w:szCs w:val="26"/>
      <w:u w:val="none"/>
    </w:rPr>
  </w:style>
  <w:style w:type="character" w:customStyle="1" w:styleId="Khc">
    <w:name w:val="Khác_"/>
    <w:link w:val="Khc0"/>
    <w:uiPriority w:val="99"/>
    <w:locked/>
    <w:rPr>
      <w:rFonts w:ascii="Times New Roman" w:hAnsi="Times New Roman" w:cs="Times New Roman"/>
      <w:sz w:val="26"/>
      <w:szCs w:val="26"/>
      <w:u w:val="none"/>
    </w:rPr>
  </w:style>
  <w:style w:type="character" w:customStyle="1" w:styleId="Chthchbng">
    <w:name w:val="Chú thích bảng_"/>
    <w:link w:val="Chthchbng0"/>
    <w:uiPriority w:val="99"/>
    <w:locked/>
    <w:rPr>
      <w:rFonts w:ascii="Times New Roman" w:hAnsi="Times New Roman" w:cs="Times New Roman"/>
      <w:sz w:val="26"/>
      <w:szCs w:val="26"/>
      <w:u w:val="none"/>
    </w:rPr>
  </w:style>
  <w:style w:type="character" w:customStyle="1" w:styleId="Mclc">
    <w:name w:val="Mục lục_"/>
    <w:link w:val="Mclc0"/>
    <w:uiPriority w:val="99"/>
    <w:locked/>
    <w:rPr>
      <w:rFonts w:ascii="Times New Roman" w:hAnsi="Times New Roman" w:cs="Times New Roman"/>
      <w:b/>
      <w:bCs/>
      <w:sz w:val="11"/>
      <w:szCs w:val="11"/>
      <w:u w:val="none"/>
    </w:rPr>
  </w:style>
  <w:style w:type="character" w:customStyle="1" w:styleId="Vnbnnidung3">
    <w:name w:val="Văn bản nội dung (3)_"/>
    <w:link w:val="Vnbnnidung30"/>
    <w:uiPriority w:val="99"/>
    <w:locked/>
    <w:rPr>
      <w:rFonts w:ascii="Times New Roman" w:hAnsi="Times New Roman" w:cs="Times New Roman"/>
      <w:b/>
      <w:bCs/>
      <w:sz w:val="11"/>
      <w:szCs w:val="11"/>
      <w:u w:val="none"/>
    </w:rPr>
  </w:style>
  <w:style w:type="character" w:customStyle="1" w:styleId="Vnbnnidung5">
    <w:name w:val="Văn bản nội dung (5)_"/>
    <w:link w:val="Vnbnnidung50"/>
    <w:uiPriority w:val="99"/>
    <w:locked/>
    <w:rPr>
      <w:rFonts w:cs="Times New Roman"/>
      <w:sz w:val="24"/>
      <w:szCs w:val="24"/>
      <w:u w:val="none"/>
    </w:rPr>
  </w:style>
  <w:style w:type="character" w:customStyle="1" w:styleId="Vnbnnidung4">
    <w:name w:val="Văn bản nội dung (4)_"/>
    <w:link w:val="Vnbnnidung40"/>
    <w:uiPriority w:val="99"/>
    <w:locked/>
    <w:rPr>
      <w:rFonts w:ascii="Arial" w:hAnsi="Arial" w:cs="Arial"/>
      <w:sz w:val="15"/>
      <w:szCs w:val="15"/>
      <w:u w:val="none"/>
    </w:rPr>
  </w:style>
  <w:style w:type="character" w:customStyle="1" w:styleId="Vnbnnidung6">
    <w:name w:val="Văn bản nội dung (6)_"/>
    <w:link w:val="Vnbnnidung60"/>
    <w:uiPriority w:val="99"/>
    <w:locked/>
    <w:rPr>
      <w:rFonts w:ascii="Courier New" w:hAnsi="Courier New" w:cs="Courier New"/>
      <w:sz w:val="8"/>
      <w:szCs w:val="8"/>
      <w:u w:val="none"/>
      <w:lang w:val="en-US" w:eastAsia="en-US"/>
    </w:rPr>
  </w:style>
  <w:style w:type="character" w:customStyle="1" w:styleId="Chthchnh">
    <w:name w:val="Chú thích ảnh_"/>
    <w:link w:val="Chthchnh0"/>
    <w:uiPriority w:val="99"/>
    <w:locked/>
    <w:rPr>
      <w:rFonts w:ascii="Times New Roman" w:hAnsi="Times New Roman" w:cs="Times New Roman"/>
      <w:b/>
      <w:bCs/>
      <w:sz w:val="26"/>
      <w:szCs w:val="26"/>
      <w:u w:val="none"/>
    </w:rPr>
  </w:style>
  <w:style w:type="paragraph" w:customStyle="1" w:styleId="Vnbnnidung20">
    <w:name w:val="Văn bản nội dung (2)"/>
    <w:basedOn w:val="Normal"/>
    <w:link w:val="Vnbnnidung2"/>
    <w:uiPriority w:val="99"/>
    <w:pPr>
      <w:ind w:firstLine="180"/>
    </w:pPr>
    <w:rPr>
      <w:rFonts w:ascii="Times New Roman" w:hAnsi="Times New Roman" w:cs="Times New Roman"/>
      <w:color w:val="auto"/>
      <w:sz w:val="22"/>
      <w:szCs w:val="22"/>
      <w:lang w:eastAsia="zh-CN"/>
    </w:rPr>
  </w:style>
  <w:style w:type="paragraph" w:customStyle="1" w:styleId="Vnbnnidung0">
    <w:name w:val="Văn bản nội dung"/>
    <w:basedOn w:val="Normal"/>
    <w:link w:val="Vnbnnidung"/>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Tiu10">
    <w:name w:val="Tiêu đề #1"/>
    <w:basedOn w:val="Normal"/>
    <w:link w:val="Tiu1"/>
    <w:uiPriority w:val="99"/>
    <w:pPr>
      <w:spacing w:after="210" w:line="257" w:lineRule="auto"/>
      <w:outlineLvl w:val="0"/>
    </w:pPr>
    <w:rPr>
      <w:rFonts w:ascii="Times New Roman" w:hAnsi="Times New Roman" w:cs="Times New Roman"/>
      <w:b/>
      <w:bCs/>
      <w:color w:val="auto"/>
      <w:sz w:val="26"/>
      <w:szCs w:val="26"/>
      <w:lang w:eastAsia="zh-CN"/>
    </w:rPr>
  </w:style>
  <w:style w:type="paragraph" w:customStyle="1" w:styleId="Khc0">
    <w:name w:val="Khác"/>
    <w:basedOn w:val="Normal"/>
    <w:link w:val="Khc"/>
    <w:uiPriority w:val="99"/>
    <w:pPr>
      <w:spacing w:after="220" w:line="259" w:lineRule="auto"/>
      <w:ind w:firstLine="400"/>
    </w:pPr>
    <w:rPr>
      <w:rFonts w:ascii="Times New Roman" w:hAnsi="Times New Roman" w:cs="Times New Roman"/>
      <w:color w:val="auto"/>
      <w:sz w:val="26"/>
      <w:szCs w:val="26"/>
      <w:lang w:eastAsia="zh-CN"/>
    </w:rPr>
  </w:style>
  <w:style w:type="paragraph" w:customStyle="1" w:styleId="Chthchbng0">
    <w:name w:val="Chú thích bảng"/>
    <w:basedOn w:val="Normal"/>
    <w:link w:val="Chthchbng"/>
    <w:uiPriority w:val="99"/>
    <w:pPr>
      <w:ind w:firstLine="560"/>
    </w:pPr>
    <w:rPr>
      <w:rFonts w:ascii="Times New Roman" w:hAnsi="Times New Roman" w:cs="Times New Roman"/>
      <w:color w:val="auto"/>
      <w:sz w:val="26"/>
      <w:szCs w:val="26"/>
      <w:lang w:eastAsia="zh-CN"/>
    </w:rPr>
  </w:style>
  <w:style w:type="paragraph" w:customStyle="1" w:styleId="Mclc0">
    <w:name w:val="Mục lục"/>
    <w:basedOn w:val="Normal"/>
    <w:link w:val="Mclc"/>
    <w:uiPriority w:val="99"/>
    <w:pPr>
      <w:spacing w:after="40"/>
    </w:pPr>
    <w:rPr>
      <w:rFonts w:ascii="Times New Roman" w:hAnsi="Times New Roman" w:cs="Times New Roman"/>
      <w:b/>
      <w:bCs/>
      <w:color w:val="auto"/>
      <w:sz w:val="11"/>
      <w:szCs w:val="11"/>
      <w:lang w:eastAsia="zh-CN"/>
    </w:rPr>
  </w:style>
  <w:style w:type="paragraph" w:customStyle="1" w:styleId="Vnbnnidung30">
    <w:name w:val="Văn bản nội dung (3)"/>
    <w:basedOn w:val="Normal"/>
    <w:link w:val="Vnbnnidung3"/>
    <w:uiPriority w:val="99"/>
    <w:pPr>
      <w:spacing w:after="50"/>
    </w:pPr>
    <w:rPr>
      <w:rFonts w:ascii="Times New Roman" w:hAnsi="Times New Roman" w:cs="Times New Roman"/>
      <w:b/>
      <w:bCs/>
      <w:color w:val="auto"/>
      <w:sz w:val="11"/>
      <w:szCs w:val="11"/>
      <w:lang w:eastAsia="zh-CN"/>
    </w:rPr>
  </w:style>
  <w:style w:type="paragraph" w:customStyle="1" w:styleId="Vnbnnidung50">
    <w:name w:val="Văn bản nội dung (5)"/>
    <w:basedOn w:val="Normal"/>
    <w:link w:val="Vnbnnidung5"/>
    <w:uiPriority w:val="99"/>
    <w:pPr>
      <w:spacing w:after="40" w:line="209" w:lineRule="auto"/>
    </w:pPr>
    <w:rPr>
      <w:color w:val="auto"/>
      <w:lang w:eastAsia="zh-CN"/>
    </w:rPr>
  </w:style>
  <w:style w:type="paragraph" w:customStyle="1" w:styleId="Vnbnnidung40">
    <w:name w:val="Văn bản nội dung (4)"/>
    <w:basedOn w:val="Normal"/>
    <w:link w:val="Vnbnnidung4"/>
    <w:uiPriority w:val="99"/>
    <w:pPr>
      <w:spacing w:after="40" w:line="223" w:lineRule="auto"/>
    </w:pPr>
    <w:rPr>
      <w:rFonts w:ascii="Arial" w:hAnsi="Arial" w:cs="Arial"/>
      <w:color w:val="auto"/>
      <w:sz w:val="15"/>
      <w:szCs w:val="15"/>
      <w:lang w:eastAsia="zh-CN"/>
    </w:rPr>
  </w:style>
  <w:style w:type="paragraph" w:customStyle="1" w:styleId="Vnbnnidung60">
    <w:name w:val="Văn bản nội dung (6)"/>
    <w:basedOn w:val="Normal"/>
    <w:link w:val="Vnbnnidung6"/>
    <w:uiPriority w:val="99"/>
    <w:pPr>
      <w:ind w:left="1160"/>
    </w:pPr>
    <w:rPr>
      <w:color w:val="auto"/>
      <w:sz w:val="8"/>
      <w:szCs w:val="8"/>
      <w:lang w:val="en-US" w:eastAsia="en-US"/>
    </w:rPr>
  </w:style>
  <w:style w:type="paragraph" w:customStyle="1" w:styleId="Chthchnh0">
    <w:name w:val="Chú thích ảnh"/>
    <w:basedOn w:val="Normal"/>
    <w:link w:val="Chthchnh"/>
    <w:uiPriority w:val="99"/>
    <w:rPr>
      <w:rFonts w:ascii="Times New Roman" w:hAnsi="Times New Roman" w:cs="Times New Roman"/>
      <w:b/>
      <w:bCs/>
      <w:color w:val="auto"/>
      <w:sz w:val="26"/>
      <w:szCs w:val="26"/>
      <w:lang w:eastAsia="zh-CN"/>
    </w:rPr>
  </w:style>
  <w:style w:type="table" w:styleId="TableGrid">
    <w:name w:val="Table Grid"/>
    <w:basedOn w:val="TableNormal"/>
    <w:uiPriority w:val="39"/>
    <w:rsid w:val="003D2A7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713A6"/>
    <w:rPr>
      <w:rFonts w:cs="Times New Roman"/>
      <w:sz w:val="16"/>
      <w:szCs w:val="16"/>
    </w:rPr>
  </w:style>
  <w:style w:type="paragraph" w:styleId="CommentText">
    <w:name w:val="annotation text"/>
    <w:basedOn w:val="Normal"/>
    <w:link w:val="CommentTextChar"/>
    <w:uiPriority w:val="99"/>
    <w:semiHidden/>
    <w:unhideWhenUsed/>
    <w:rsid w:val="003713A6"/>
    <w:rPr>
      <w:sz w:val="20"/>
      <w:szCs w:val="20"/>
    </w:rPr>
  </w:style>
  <w:style w:type="character" w:customStyle="1" w:styleId="CommentTextChar">
    <w:name w:val="Comment Text Char"/>
    <w:link w:val="CommentText"/>
    <w:uiPriority w:val="99"/>
    <w:semiHidden/>
    <w:locked/>
    <w:rsid w:val="003713A6"/>
    <w:rPr>
      <w:rFonts w:cs="Courier New"/>
      <w:color w:val="000000"/>
      <w:sz w:val="20"/>
      <w:szCs w:val="20"/>
      <w:lang w:val="vi-VN" w:eastAsia="vi-VN"/>
    </w:rPr>
  </w:style>
  <w:style w:type="paragraph" w:styleId="CommentSubject">
    <w:name w:val="annotation subject"/>
    <w:basedOn w:val="CommentText"/>
    <w:next w:val="CommentText"/>
    <w:link w:val="CommentSubjectChar"/>
    <w:uiPriority w:val="99"/>
    <w:semiHidden/>
    <w:unhideWhenUsed/>
    <w:rsid w:val="003713A6"/>
    <w:rPr>
      <w:b/>
      <w:bCs/>
    </w:rPr>
  </w:style>
  <w:style w:type="character" w:customStyle="1" w:styleId="CommentSubjectChar">
    <w:name w:val="Comment Subject Char"/>
    <w:link w:val="CommentSubject"/>
    <w:uiPriority w:val="99"/>
    <w:semiHidden/>
    <w:locked/>
    <w:rsid w:val="003713A6"/>
    <w:rPr>
      <w:rFonts w:cs="Courier New"/>
      <w:b/>
      <w:bCs/>
      <w:color w:val="000000"/>
      <w:sz w:val="20"/>
      <w:szCs w:val="20"/>
      <w:lang w:val="vi-VN" w:eastAsia="vi-VN"/>
    </w:rPr>
  </w:style>
  <w:style w:type="paragraph" w:styleId="BalloonText">
    <w:name w:val="Balloon Text"/>
    <w:basedOn w:val="Normal"/>
    <w:link w:val="BalloonTextChar"/>
    <w:uiPriority w:val="99"/>
    <w:semiHidden/>
    <w:unhideWhenUsed/>
    <w:rsid w:val="003713A6"/>
    <w:rPr>
      <w:rFonts w:ascii="Segoe UI" w:hAnsi="Segoe UI" w:cs="Segoe UI"/>
      <w:sz w:val="18"/>
      <w:szCs w:val="18"/>
    </w:rPr>
  </w:style>
  <w:style w:type="character" w:customStyle="1" w:styleId="BalloonTextChar">
    <w:name w:val="Balloon Text Char"/>
    <w:link w:val="BalloonText"/>
    <w:uiPriority w:val="99"/>
    <w:semiHidden/>
    <w:locked/>
    <w:rsid w:val="003713A6"/>
    <w:rPr>
      <w:rFonts w:ascii="Segoe UI" w:hAnsi="Segoe UI" w:cs="Segoe UI"/>
      <w:color w:val="000000"/>
      <w:sz w:val="18"/>
      <w:szCs w:val="18"/>
      <w:lang w:val="vi-VN" w:eastAsia="vi-VN"/>
    </w:rPr>
  </w:style>
  <w:style w:type="paragraph" w:styleId="Header">
    <w:name w:val="header"/>
    <w:basedOn w:val="Normal"/>
    <w:link w:val="HeaderChar"/>
    <w:uiPriority w:val="99"/>
    <w:unhideWhenUsed/>
    <w:rsid w:val="00BE1DA0"/>
    <w:pPr>
      <w:tabs>
        <w:tab w:val="center" w:pos="4680"/>
        <w:tab w:val="right" w:pos="9360"/>
      </w:tabs>
    </w:pPr>
  </w:style>
  <w:style w:type="character" w:customStyle="1" w:styleId="HeaderChar">
    <w:name w:val="Header Char"/>
    <w:link w:val="Header"/>
    <w:uiPriority w:val="99"/>
    <w:rsid w:val="00BE1DA0"/>
    <w:rPr>
      <w:color w:val="000000"/>
      <w:lang w:val="vi-VN" w:eastAsia="vi-VN"/>
    </w:rPr>
  </w:style>
  <w:style w:type="paragraph" w:styleId="Footer">
    <w:name w:val="footer"/>
    <w:basedOn w:val="Normal"/>
    <w:link w:val="FooterChar"/>
    <w:uiPriority w:val="99"/>
    <w:unhideWhenUsed/>
    <w:rsid w:val="00BE1DA0"/>
    <w:pPr>
      <w:tabs>
        <w:tab w:val="center" w:pos="4680"/>
        <w:tab w:val="right" w:pos="9360"/>
      </w:tabs>
    </w:pPr>
  </w:style>
  <w:style w:type="character" w:customStyle="1" w:styleId="FooterChar">
    <w:name w:val="Footer Char"/>
    <w:link w:val="Footer"/>
    <w:uiPriority w:val="99"/>
    <w:rsid w:val="00BE1DA0"/>
    <w:rPr>
      <w:color w:val="000000"/>
      <w:lang w:val="vi-VN" w:eastAsia="vi-VN"/>
    </w:rPr>
  </w:style>
  <w:style w:type="paragraph" w:styleId="NormalWeb">
    <w:name w:val="Normal (Web)"/>
    <w:basedOn w:val="Normal"/>
    <w:uiPriority w:val="99"/>
    <w:unhideWhenUsed/>
    <w:rsid w:val="008E70E7"/>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uiPriority w:val="22"/>
    <w:qFormat/>
    <w:rsid w:val="008E70E7"/>
    <w:rPr>
      <w:b/>
      <w:bCs/>
    </w:rPr>
  </w:style>
  <w:style w:type="character" w:styleId="Emphasis">
    <w:name w:val="Emphasis"/>
    <w:uiPriority w:val="20"/>
    <w:qFormat/>
    <w:rsid w:val="008E70E7"/>
    <w:rPr>
      <w:i/>
      <w:iCs/>
    </w:rPr>
  </w:style>
  <w:style w:type="character" w:styleId="Hyperlink">
    <w:name w:val="Hyperlink"/>
    <w:uiPriority w:val="99"/>
    <w:unhideWhenUsed/>
    <w:rsid w:val="008E70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1402</Words>
  <Characters>7994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2020-08-17 (1)</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2020-08-17 (1)</dc:title>
  <dc:subject/>
  <dc:creator>Hang Nga Nguyen</dc:creator>
  <cp:keywords/>
  <dc:description/>
  <cp:lastModifiedBy>Anh Tuan Bui</cp:lastModifiedBy>
  <cp:revision>2</cp:revision>
  <dcterms:created xsi:type="dcterms:W3CDTF">2022-02-20T09:32:00Z</dcterms:created>
  <dcterms:modified xsi:type="dcterms:W3CDTF">2022-02-20T09:32:00Z</dcterms:modified>
</cp:coreProperties>
</file>